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 xml:space="preserve"> 2024年食品药品监管补助资金（第二批）项目支出绩效评价报告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2"/>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 2024年食品药品监管补助资金（第二批）</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自治区药品检验研究院</w:t>
      </w:r>
    </w:p>
    <w:p>
      <w:pPr>
        <w:spacing w:line="700" w:lineRule="exact"/>
        <w:ind w:firstLine="1440" w:firstLineChars="400"/>
        <w:jc w:val="left"/>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自治区药品监督管理局</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高勇</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20</w:t>
      </w:r>
      <w:r>
        <w:rPr>
          <w:rFonts w:hint="default" w:ascii="Times New Roman" w:hAnsi="Times New Roman" w:eastAsia="仿宋_GB2312" w:cs="Times New Roman"/>
          <w:kern w:val="0"/>
          <w:sz w:val="36"/>
          <w:szCs w:val="36"/>
        </w:rPr>
        <w:t>日</w:t>
      </w: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240" w:lineRule="auto"/>
        <w:ind w:firstLine="0" w:firstLineChars="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2"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2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2024年，自治区药检院贯彻落实“讲政治、强监管、保安全、促发展、惠民生”工作思路，在局党组的坚强领导下，始终聚焦支撑药品高水平安全监管和服务医药产业高质量发展，惟实励新、因</w:t>
      </w:r>
      <w:r>
        <w:rPr>
          <w:rFonts w:hint="eastAsia" w:ascii="仿宋_GB2312" w:hAnsi="仿宋_GB2312" w:eastAsia="仿宋_GB2312" w:cs="仿宋_GB2312"/>
          <w:b w:val="0"/>
          <w:bCs w:val="0"/>
          <w:color w:val="auto"/>
          <w:sz w:val="32"/>
          <w:szCs w:val="32"/>
          <w:lang w:val="en-US" w:eastAsia="zh-CN"/>
        </w:rPr>
        <w:t>势而谋，奋力构建药品检验研究转型发展新格局。</w:t>
      </w:r>
      <w:r>
        <w:rPr>
          <w:rFonts w:hint="eastAsia" w:ascii="仿宋_GB2312" w:hAnsi="仿宋_GB2312" w:eastAsia="仿宋_GB2312" w:cs="仿宋_GB2312"/>
          <w:sz w:val="32"/>
          <w:szCs w:val="32"/>
        </w:rPr>
        <w:t>根据工作职能，我院主要承担药品（含药用辅料、包装材料与容器）、医疗器械、化妆品的检验检测、质量分析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复验</w:t>
      </w:r>
      <w:r>
        <w:rPr>
          <w:rFonts w:hint="eastAsia" w:ascii="仿宋_GB2312" w:hAnsi="仿宋_GB2312" w:eastAsia="仿宋_GB2312" w:cs="仿宋_GB2312"/>
          <w:sz w:val="32"/>
          <w:szCs w:val="32"/>
          <w:lang w:val="en-US" w:eastAsia="zh-CN"/>
        </w:rPr>
        <w:t>和质量标准修订及技术复核等工作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开展检验检测</w:t>
      </w:r>
      <w:r>
        <w:rPr>
          <w:rFonts w:hint="eastAsia" w:ascii="仿宋_GB2312" w:hAnsi="仿宋_GB2312" w:eastAsia="仿宋_GB2312" w:cs="仿宋_GB2312"/>
          <w:sz w:val="32"/>
          <w:szCs w:val="32"/>
        </w:rPr>
        <w:t>新技术新方法新标准和仿制药质量相关技术研究；组织开展地方药品标准规定使用的对照品和对照药材的研究、制备和标定，以及药品相关单位的培训、技术指导等工作。</w:t>
      </w:r>
    </w:p>
    <w:p>
      <w:pPr>
        <w:pStyle w:val="2"/>
        <w:numPr>
          <w:ilvl w:val="0"/>
          <w:numId w:val="0"/>
        </w:numPr>
        <w:spacing w:before="0" w:after="0" w:line="560" w:lineRule="exact"/>
        <w:ind w:firstLine="642"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default" w:ascii="Times New Roman" w:hAnsi="Times New Roman" w:eastAsia="仿宋_GB2312" w:cs="Times New Roman"/>
          <w:sz w:val="32"/>
          <w:szCs w:val="32"/>
          <w:highlight w:val="none"/>
          <w:lang w:val="en-US" w:eastAsia="zh-CN"/>
        </w:rPr>
        <w:t>项目主要内容：</w:t>
      </w:r>
      <w:r>
        <w:rPr>
          <w:rStyle w:val="17"/>
          <w:rFonts w:hint="eastAsia" w:ascii="仿宋_GB2312" w:hAnsi="仿宋_GB2312" w:eastAsia="仿宋_GB2312" w:cs="仿宋_GB2312"/>
          <w:b w:val="0"/>
          <w:bCs/>
          <w:spacing w:val="-4"/>
          <w:sz w:val="32"/>
          <w:szCs w:val="32"/>
          <w:highlight w:val="none"/>
        </w:rPr>
        <w:t>根据主要职能，为“两品一械”提供技术支撑保障，2024年下半年预计完成1.进口药材检验100批次，血液制品模拟实验20批次，中药材质量监测3个品种；为更好完成检验任务购置设备83台。</w:t>
      </w:r>
    </w:p>
    <w:p>
      <w:pPr>
        <w:spacing w:line="560" w:lineRule="exact"/>
        <w:ind w:firstLine="600" w:firstLineChars="200"/>
        <w:rPr>
          <w:rFonts w:hint="eastAsia" w:ascii="仿宋_GB2312" w:hAnsi="仿宋_GB2312" w:eastAsia="仿宋_GB2312" w:cs="仿宋_GB2312"/>
          <w:sz w:val="32"/>
          <w:szCs w:val="32"/>
          <w:highlight w:val="none"/>
          <w:lang w:eastAsia="zh-CN"/>
        </w:rPr>
      </w:pPr>
      <w:r>
        <w:rPr>
          <w:rFonts w:hint="default" w:ascii="Times New Roman" w:hAnsi="Times New Roman" w:eastAsia="仿宋_GB2312" w:cs="Times New Roman"/>
          <w:sz w:val="30"/>
          <w:szCs w:val="30"/>
          <w:highlight w:val="none"/>
          <w:lang w:val="en-US" w:eastAsia="zh-CN"/>
        </w:rPr>
        <w:t>项目实施情况</w:t>
      </w:r>
      <w:r>
        <w:rPr>
          <w:rFonts w:hint="default" w:ascii="Times New Roman" w:hAnsi="Times New Roman" w:eastAsia="仿宋_GB2312" w:cs="Times New Roman"/>
          <w:sz w:val="32"/>
          <w:szCs w:val="32"/>
        </w:rPr>
        <w:t>：</w:t>
      </w:r>
      <w:r>
        <w:rPr>
          <w:rFonts w:hint="eastAsia" w:ascii="仿宋_GB2312" w:hAnsi="仿宋_GB2312" w:eastAsia="仿宋_GB2312" w:cs="仿宋_GB2312"/>
          <w:kern w:val="0"/>
          <w:sz w:val="32"/>
          <w:szCs w:val="32"/>
          <w:lang w:val="en-US" w:eastAsia="zh-CN"/>
        </w:rPr>
        <w:t>截止2024年12月31日，该</w:t>
      </w:r>
      <w:r>
        <w:rPr>
          <w:rFonts w:hint="eastAsia" w:ascii="仿宋_GB2312" w:hAnsi="仿宋_GB2312" w:eastAsia="仿宋_GB2312" w:cs="仿宋_GB2312"/>
          <w:kern w:val="0"/>
          <w:sz w:val="32"/>
          <w:szCs w:val="32"/>
        </w:rPr>
        <w:t>项目</w:t>
      </w:r>
      <w:r>
        <w:rPr>
          <w:rFonts w:hint="eastAsia" w:ascii="仿宋_GB2312" w:hAnsi="仿宋_GB2312" w:eastAsia="仿宋_GB2312" w:cs="仿宋_GB2312"/>
          <w:kern w:val="0"/>
          <w:sz w:val="32"/>
          <w:szCs w:val="32"/>
          <w:lang w:val="en-US" w:eastAsia="zh-CN"/>
        </w:rPr>
        <w:t>绩效</w:t>
      </w:r>
      <w:r>
        <w:rPr>
          <w:rFonts w:hint="eastAsia" w:ascii="仿宋_GB2312" w:hAnsi="仿宋_GB2312" w:eastAsia="仿宋_GB2312" w:cs="仿宋_GB2312"/>
          <w:kern w:val="0"/>
          <w:sz w:val="32"/>
          <w:szCs w:val="32"/>
        </w:rPr>
        <w:t>目标已</w:t>
      </w:r>
      <w:r>
        <w:rPr>
          <w:rFonts w:hint="eastAsia" w:ascii="仿宋_GB2312" w:hAnsi="仿宋_GB2312" w:eastAsia="仿宋_GB2312" w:cs="仿宋_GB2312"/>
          <w:kern w:val="0"/>
          <w:sz w:val="32"/>
          <w:szCs w:val="32"/>
          <w:lang w:val="en-US" w:eastAsia="zh-CN"/>
        </w:rPr>
        <w:t>全部</w:t>
      </w:r>
      <w:r>
        <w:rPr>
          <w:rFonts w:hint="eastAsia" w:ascii="仿宋_GB2312" w:hAnsi="仿宋_GB2312" w:eastAsia="仿宋_GB2312" w:cs="仿宋_GB2312"/>
          <w:kern w:val="0"/>
          <w:sz w:val="32"/>
          <w:szCs w:val="32"/>
        </w:rPr>
        <w:t>完成</w:t>
      </w:r>
      <w:r>
        <w:rPr>
          <w:rFonts w:hint="eastAsia" w:ascii="仿宋_GB2312" w:hAnsi="仿宋_GB2312" w:eastAsia="仿宋_GB2312" w:cs="仿宋_GB2312"/>
          <w:kern w:val="0"/>
          <w:sz w:val="32"/>
          <w:szCs w:val="32"/>
          <w:lang w:eastAsia="zh-CN"/>
        </w:rPr>
        <w:t>。其中，</w:t>
      </w:r>
      <w:r>
        <w:rPr>
          <w:rStyle w:val="17"/>
          <w:rFonts w:hint="eastAsia" w:ascii="仿宋_GB2312" w:hAnsi="仿宋_GB2312" w:eastAsia="仿宋_GB2312" w:cs="仿宋_GB2312"/>
          <w:b w:val="0"/>
          <w:bCs/>
          <w:spacing w:val="-4"/>
          <w:sz w:val="32"/>
          <w:szCs w:val="32"/>
          <w:highlight w:val="none"/>
        </w:rPr>
        <w:t>完成进口药材检验100批次</w:t>
      </w:r>
      <w:r>
        <w:rPr>
          <w:rStyle w:val="17"/>
          <w:rFonts w:hint="eastAsia" w:ascii="仿宋_GB2312" w:hAnsi="仿宋_GB2312" w:eastAsia="仿宋_GB2312" w:cs="仿宋_GB2312"/>
          <w:b w:val="0"/>
          <w:bCs/>
          <w:spacing w:val="-4"/>
          <w:sz w:val="32"/>
          <w:szCs w:val="32"/>
          <w:highlight w:val="none"/>
          <w:lang w:eastAsia="zh-CN"/>
        </w:rPr>
        <w:t>、</w:t>
      </w:r>
      <w:r>
        <w:rPr>
          <w:rStyle w:val="17"/>
          <w:rFonts w:hint="eastAsia" w:ascii="仿宋_GB2312" w:hAnsi="仿宋_GB2312" w:eastAsia="仿宋_GB2312" w:cs="仿宋_GB2312"/>
          <w:b w:val="0"/>
          <w:bCs/>
          <w:spacing w:val="-4"/>
          <w:sz w:val="32"/>
          <w:szCs w:val="32"/>
          <w:highlight w:val="none"/>
        </w:rPr>
        <w:t>血液制品模拟实验20批次</w:t>
      </w:r>
      <w:r>
        <w:rPr>
          <w:rStyle w:val="17"/>
          <w:rFonts w:hint="eastAsia" w:ascii="仿宋_GB2312" w:hAnsi="仿宋_GB2312" w:eastAsia="仿宋_GB2312" w:cs="仿宋_GB2312"/>
          <w:b w:val="0"/>
          <w:bCs/>
          <w:spacing w:val="-4"/>
          <w:sz w:val="32"/>
          <w:szCs w:val="32"/>
          <w:highlight w:val="none"/>
          <w:lang w:eastAsia="zh-CN"/>
        </w:rPr>
        <w:t>、</w:t>
      </w:r>
      <w:r>
        <w:rPr>
          <w:rStyle w:val="17"/>
          <w:rFonts w:hint="eastAsia" w:ascii="仿宋_GB2312" w:hAnsi="仿宋_GB2312" w:eastAsia="仿宋_GB2312" w:cs="仿宋_GB2312"/>
          <w:b w:val="0"/>
          <w:bCs/>
          <w:spacing w:val="-4"/>
          <w:sz w:val="32"/>
          <w:szCs w:val="32"/>
          <w:highlight w:val="none"/>
        </w:rPr>
        <w:t>中药材质量监测3个品种；为更好完成检验任务购置设备83台。</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420" w:firstLineChars="200"/>
        <w:rPr>
          <w:rFonts w:hint="default" w:ascii="Times New Roman" w:hAnsi="Times New Roman" w:cs="Times New Roman"/>
        </w:rPr>
      </w:pPr>
    </w:p>
    <w:p>
      <w:pPr>
        <w:spacing w:line="560" w:lineRule="exact"/>
        <w:ind w:firstLine="642"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该项目年初预算数422万元，全年预算数422万元，该项目资金已全部落实到位，资金来源为财政拨款。</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422万元，全年预算数422万元，全年执行数393.43万元，预算执行率为93.23%，主要用于：支付2024年国家任务检验检测过程中产生的专用材料费、设备维修维护费、委托业务费、设备购置费等各项支出。</w:t>
      </w:r>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24" w:firstLineChars="200"/>
        <w:rPr>
          <w:rStyle w:val="17"/>
          <w:rFonts w:hint="eastAsia" w:ascii="仿宋_GB2312" w:hAnsi="仿宋_GB2312" w:eastAsia="仿宋_GB2312" w:cs="仿宋_GB2312"/>
          <w:b w:val="0"/>
          <w:bCs/>
          <w:spacing w:val="-4"/>
          <w:sz w:val="32"/>
          <w:szCs w:val="32"/>
          <w:highlight w:val="none"/>
        </w:rPr>
      </w:pPr>
      <w:r>
        <w:rPr>
          <w:rStyle w:val="17"/>
          <w:rFonts w:hint="eastAsia" w:ascii="仿宋_GB2312" w:hAnsi="仿宋_GB2312" w:eastAsia="仿宋_GB2312" w:cs="仿宋_GB2312"/>
          <w:b w:val="0"/>
          <w:bCs/>
          <w:spacing w:val="-4"/>
          <w:sz w:val="32"/>
          <w:szCs w:val="32"/>
          <w:highlight w:val="none"/>
        </w:rPr>
        <w:t>根据主要职能，为“两品一械”</w:t>
      </w:r>
      <w:r>
        <w:rPr>
          <w:rStyle w:val="17"/>
          <w:rFonts w:hint="eastAsia" w:ascii="仿宋_GB2312" w:hAnsi="仿宋_GB2312" w:eastAsia="仿宋_GB2312" w:cs="仿宋_GB2312"/>
          <w:b w:val="0"/>
          <w:bCs/>
          <w:spacing w:val="-4"/>
          <w:sz w:val="32"/>
          <w:szCs w:val="32"/>
          <w:highlight w:val="none"/>
          <w:lang w:eastAsia="zh-CN"/>
        </w:rPr>
        <w:t>全区药品监管</w:t>
      </w:r>
      <w:r>
        <w:rPr>
          <w:rStyle w:val="17"/>
          <w:rFonts w:hint="eastAsia" w:ascii="仿宋_GB2312" w:hAnsi="仿宋_GB2312" w:eastAsia="仿宋_GB2312" w:cs="仿宋_GB2312"/>
          <w:b w:val="0"/>
          <w:bCs/>
          <w:spacing w:val="-4"/>
          <w:sz w:val="32"/>
          <w:szCs w:val="32"/>
          <w:highlight w:val="none"/>
        </w:rPr>
        <w:t>提供技术支撑保障，2024年下半年预计完成1.进口药材检验100批次，血液制品模拟实验20批次，中药材质量监测3个品种；为更好完成检验任务购置设备83台。</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费下达后，我院领导高度重视，立即组织相关科室明确工作需求，细化资金用途，开展实验供应品、办公耗材等检验所需物资的采购工作，充分保障检验任务顺利完成。项目执行过程中，严格按照项目预算执行，独立核算，专人专管，确保专项资金专款专用。全年召开多次预算执行进度会，通报预算执行情况及绩效目标完成情况，项目负责人按照项目实施计划和执行进度申请使用资金，严格按照我院财务内控管理手册履行审批及报销程序。</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我院质量管理程序文件，由业务发展部收样、分样并送至各检验科室，检验科室按照抽检实施方案确定检验项目，查新检验标准，按照最新版药典和标准开展检验工作，检验结果合格，由检验人员和审核签字人签字确认后出具合法有效的报告书；检验结果不合格，进行复核检验，仍不合格的，由检验人员和审核签字人将报告提交至不合格报告审核人初核，审核通过后出具不合格报告书。</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default" w:ascii="Times New Roman" w:hAnsi="Times New Roman" w:eastAsia="仿宋_GB2312" w:cs="Times New Roman"/>
          <w:b w:val="0"/>
          <w:bCs w:val="0"/>
          <w:highlight w:val="none"/>
        </w:rPr>
        <w:t>本项目预算绩效评价报告的评价对象是</w:t>
      </w:r>
      <w:r>
        <w:rPr>
          <w:rFonts w:hint="eastAsia" w:ascii="仿宋_GB2312" w:hAnsi="仿宋_GB2312" w:eastAsia="仿宋_GB2312" w:cs="仿宋_GB2312"/>
          <w:b w:val="0"/>
          <w:bCs w:val="0"/>
          <w:highlight w:val="none"/>
        </w:rPr>
        <w:t>2024年食品药品监管补助资金（第二批）</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自治区药品检验研究院</w:t>
      </w:r>
      <w:r>
        <w:rPr>
          <w:rFonts w:hint="default" w:ascii="Times New Roman" w:hAnsi="Times New Roman" w:eastAsia="仿宋_GB2312" w:cs="Times New Roman"/>
          <w:b w:val="0"/>
          <w:bCs w:val="0"/>
          <w:highlight w:val="none"/>
        </w:rPr>
        <w:t>负责实施，旨</w:t>
      </w:r>
      <w:r>
        <w:rPr>
          <w:rFonts w:hint="eastAsia" w:ascii="仿宋_GB2312" w:hAnsi="仿宋_GB2312" w:eastAsia="仿宋_GB2312" w:cs="仿宋_GB2312"/>
          <w:b w:val="0"/>
          <w:bCs w:val="0"/>
          <w:highlight w:val="none"/>
        </w:rPr>
        <w:t>在根据主要职能，为“两品一械”提供技术支撑保障，2024年下半年预计完成1.进口药材检验100批次，血液制品模拟实验20批次，中药材质量监测3个品种；为更好完成检验任务购置设备83台。项目预算涵盖从</w:t>
      </w:r>
      <w:r>
        <w:rPr>
          <w:rFonts w:hint="eastAsia" w:ascii="仿宋_GB2312" w:hAnsi="仿宋_GB2312" w:eastAsia="仿宋_GB2312" w:cs="仿宋_GB2312"/>
          <w:b w:val="0"/>
          <w:bCs w:val="0"/>
          <w:highlight w:val="none"/>
          <w:lang w:val="en-US" w:eastAsia="zh-CN"/>
        </w:rPr>
        <w:t>2024年1月1日</w:t>
      </w:r>
      <w:r>
        <w:rPr>
          <w:rFonts w:hint="eastAsia" w:ascii="仿宋_GB2312" w:hAnsi="仿宋_GB2312" w:eastAsia="仿宋_GB2312" w:cs="仿宋_GB2312"/>
          <w:b w:val="0"/>
          <w:bCs w:val="0"/>
          <w:highlight w:val="none"/>
        </w:rPr>
        <w:t>至</w:t>
      </w:r>
      <w:r>
        <w:rPr>
          <w:rFonts w:hint="eastAsia" w:ascii="仿宋_GB2312" w:hAnsi="仿宋_GB2312" w:eastAsia="仿宋_GB2312" w:cs="仿宋_GB2312"/>
          <w:b w:val="0"/>
          <w:bCs w:val="0"/>
          <w:highlight w:val="none"/>
          <w:lang w:val="en-US" w:eastAsia="zh-CN"/>
        </w:rPr>
        <w:t>12月31日</w:t>
      </w:r>
      <w:r>
        <w:rPr>
          <w:rFonts w:hint="eastAsia" w:ascii="仿宋_GB2312" w:hAnsi="仿宋_GB2312" w:eastAsia="仿宋_GB2312" w:cs="仿宋_GB2312"/>
          <w:b w:val="0"/>
          <w:bCs w:val="0"/>
          <w:highlight w:val="none"/>
        </w:rPr>
        <w:t>的全部资金投入与支出，涉及资金总额为</w:t>
      </w:r>
      <w:r>
        <w:rPr>
          <w:rFonts w:hint="eastAsia" w:ascii="仿宋_GB2312" w:hAnsi="仿宋_GB2312" w:eastAsia="仿宋_GB2312" w:cs="仿宋_GB2312"/>
          <w:b w:val="0"/>
          <w:bCs w:val="0"/>
          <w:highlight w:val="none"/>
          <w:lang w:val="en-US" w:eastAsia="zh-CN"/>
        </w:rPr>
        <w:t>393.43万</w:t>
      </w:r>
      <w:r>
        <w:rPr>
          <w:rFonts w:hint="eastAsia" w:ascii="仿宋_GB2312" w:hAnsi="仿宋_GB2312" w:eastAsia="仿宋_GB2312" w:cs="仿宋_GB2312"/>
          <w:b w:val="0"/>
          <w:bCs w:val="0"/>
          <w:highlight w:val="none"/>
        </w:rPr>
        <w:t>元。</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2"/>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社会影响：考察项目对社会、经济等方面的综合影响。</w:t>
      </w:r>
    </w:p>
    <w:p>
      <w:pPr>
        <w:spacing w:line="560" w:lineRule="exact"/>
        <w:ind w:firstLine="642"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（四）最低成本法。是指在绩效目标确定的前提下，成本最小者为优的方法。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（五）公众评判法。是指通过专家评估、公众问卷及抽样调查等方式进行评判的方法。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（六）标杆管理法。是指以国内外同行业中较高的绩效水平为标杆进行评判的方法。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（七）其他评价方法。</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w:t>
      </w:r>
      <w:r>
        <w:rPr>
          <w:rFonts w:hint="default" w:ascii="Times New Roman" w:hAnsi="Times New Roman" w:eastAsia="仿宋_GB2312" w:cs="Times New Roman"/>
          <w:b w:val="0"/>
          <w:bCs w:val="0"/>
          <w:highlight w:val="none"/>
        </w:rPr>
        <w:t>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r>
        <w:rPr>
          <w:rFonts w:hint="eastAsia" w:ascii="Times New Roman" w:hAnsi="Times New Roman" w:eastAsia="仿宋_GB2312" w:cs="Times New Roman"/>
          <w:b w:val="0"/>
          <w:bCs w:val="0"/>
          <w:lang w:eastAsia="zh-CN"/>
        </w:rPr>
        <w:t>、历史标准</w:t>
      </w:r>
      <w:r>
        <w:rPr>
          <w:rFonts w:hint="default" w:ascii="Times New Roman" w:hAnsi="Times New Roman" w:eastAsia="仿宋_GB2312" w:cs="Times New Roman"/>
          <w:b w:val="0"/>
          <w:bCs w:val="0"/>
        </w:rPr>
        <w:t>。</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2"/>
        <w:numPr>
          <w:ilvl w:val="0"/>
          <w:numId w:val="2"/>
        </w:numPr>
        <w:spacing w:before="0" w:after="0" w:line="560" w:lineRule="exact"/>
        <w:ind w:firstLine="710"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rPr>
        <w:t>2024年食品药品监管补助资金（第二批）</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lang w:eastAsia="zh-CN"/>
        </w:rPr>
        <w:t>进口药材检验检测、中药材质量监测数量</w:t>
      </w:r>
      <w:r>
        <w:rPr>
          <w:rFonts w:hint="default" w:ascii="Times New Roman" w:hAnsi="Times New Roman" w:eastAsia="仿宋_GB2312" w:cs="Times New Roman"/>
          <w:sz w:val="32"/>
          <w:szCs w:val="32"/>
          <w:highlight w:val="none"/>
        </w:rPr>
        <w:t>等方面表现出色，达到了预期的标准与要求。同时，项目也在</w:t>
      </w:r>
      <w:r>
        <w:rPr>
          <w:rFonts w:hint="default" w:ascii="Times New Roman" w:hAnsi="Times New Roman" w:eastAsia="仿宋_GB2312" w:cs="Times New Roman"/>
          <w:color w:val="auto"/>
          <w:sz w:val="32"/>
          <w:szCs w:val="32"/>
          <w:highlight w:val="none"/>
        </w:rPr>
        <w:t>血液制品模拟实验</w:t>
      </w:r>
      <w:r>
        <w:rPr>
          <w:rFonts w:hint="eastAsia" w:eastAsia="仿宋_GB2312" w:cs="Times New Roman"/>
          <w:color w:val="auto"/>
          <w:sz w:val="32"/>
          <w:szCs w:val="32"/>
          <w:highlight w:val="none"/>
          <w:lang w:eastAsia="zh-CN"/>
        </w:rPr>
        <w:t>中</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检验检测准确率、任务按时完成率</w:t>
      </w:r>
      <w:r>
        <w:rPr>
          <w:rFonts w:hint="default" w:ascii="Times New Roman" w:hAnsi="Times New Roman" w:eastAsia="仿宋_GB2312" w:cs="Times New Roman"/>
          <w:sz w:val="32"/>
          <w:szCs w:val="32"/>
          <w:highlight w:val="none"/>
        </w:rPr>
        <w:t>等。</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我院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从项目效益的角度来看，本项目不仅实现了预期的社会效益等方面产生了积极的影响。具体而言，保障公众用药安全等方面的提升，为项目的利益相关者带来了实实在在的利益。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2024年食品药品监管补助资金（第二批）</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highlight w:val="none"/>
        </w:rPr>
        <w:t xml:space="preserve">总得分为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 xml:space="preserve">分，属于“优”。其中，项目决策类指标权重为20分，得分为 </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 xml:space="preserve">分，得分率为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%。项目过程类指标权重为20分，得分为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%。项目产出类指标权重为40分，得分为</w:t>
      </w:r>
      <w:r>
        <w:rPr>
          <w:rFonts w:hint="eastAsia" w:ascii="仿宋_GB2312" w:hAnsi="仿宋_GB2312" w:eastAsia="仿宋_GB2312" w:cs="仿宋_GB2312"/>
          <w:b w:val="0"/>
          <w:bCs w:val="0"/>
          <w:highlight w:val="none"/>
          <w:lang w:val="en-US" w:eastAsia="zh-CN"/>
        </w:rPr>
        <w:t>40</w:t>
      </w:r>
      <w:r>
        <w:rPr>
          <w:rFonts w:hint="eastAsia" w:ascii="仿宋_GB2312" w:hAnsi="仿宋_GB2312" w:eastAsia="仿宋_GB2312" w:cs="仿宋_GB2312"/>
          <w:b w:val="0"/>
          <w:bCs w:val="0"/>
          <w:highlight w:val="none"/>
        </w:rPr>
        <w:t xml:space="preserve">分，得分率为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%。项目效益类指标权重为20分，得分为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
        <w:spacing w:before="0" w:after="0" w:line="560" w:lineRule="exact"/>
        <w:ind w:firstLine="642"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w:t>
      </w:r>
      <w:r>
        <w:rPr>
          <w:rFonts w:hint="eastAsia" w:ascii="仿宋_GB2312" w:hAnsi="仿宋_GB2312" w:eastAsia="仿宋_GB2312" w:cs="仿宋_GB2312"/>
          <w:sz w:val="32"/>
          <w:szCs w:val="32"/>
          <w:highlight w:val="none"/>
          <w:lang w:eastAsia="zh-CN"/>
        </w:rPr>
        <w:t>基础。</w:t>
      </w:r>
    </w:p>
    <w:p>
      <w:pPr>
        <w:pStyle w:val="2"/>
        <w:numPr>
          <w:ilvl w:val="0"/>
          <w:numId w:val="4"/>
        </w:numPr>
        <w:spacing w:before="0" w:after="0" w:line="560" w:lineRule="exact"/>
        <w:ind w:firstLine="642"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项目过程类指标包括资金管理和组织实施两方面的内容，由5个三级指标构成，权重分值为20分，实际得分20分，得分率为20%。</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本项目总投资422万元，财政资金及时足额到位，到位率100%，预算资金按计划进度执行。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预算资金支出393.43万元，预算执行率为93.23%。</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项目产出类指标包括产出数量、产出质量、产出时效、产出成本四方面的内容，由4个三级指标构成，权重分为40分，实际得分40分，得分率为100%。具体</w:t>
      </w:r>
      <w:r>
        <w:rPr>
          <w:rFonts w:hint="default" w:ascii="Times New Roman" w:hAnsi="Times New Roman" w:eastAsia="仿宋_GB2312" w:cs="Times New Roman"/>
          <w:sz w:val="32"/>
          <w:szCs w:val="32"/>
          <w:lang w:val="en-US" w:eastAsia="zh-CN"/>
        </w:rPr>
        <w:t>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指标1：进口药材检验批次，指标值：</w:t>
      </w:r>
      <w:r>
        <w:rPr>
          <w:rStyle w:val="16"/>
          <w:rFonts w:hint="eastAsia" w:ascii="仿宋_GB2312" w:hAnsi="仿宋_GB2312" w:eastAsia="仿宋_GB2312" w:cs="仿宋_GB2312"/>
          <w:b w:val="0"/>
          <w:bCs/>
          <w:spacing w:val="0"/>
          <w:sz w:val="32"/>
          <w:szCs w:val="32"/>
          <w:highlight w:val="none"/>
        </w:rPr>
        <w:t>≥</w:t>
      </w:r>
      <w:r>
        <w:rPr>
          <w:rStyle w:val="16"/>
          <w:rFonts w:hint="eastAsia" w:ascii="仿宋_GB2312" w:hAnsi="仿宋_GB2312" w:eastAsia="仿宋_GB2312" w:cs="仿宋_GB2312"/>
          <w:b w:val="0"/>
          <w:bCs/>
          <w:spacing w:val="0"/>
          <w:sz w:val="32"/>
          <w:szCs w:val="32"/>
          <w:highlight w:val="none"/>
          <w:lang w:val="en-US" w:eastAsia="zh-CN"/>
        </w:rPr>
        <w:t>100</w:t>
      </w:r>
      <w:r>
        <w:rPr>
          <w:rStyle w:val="16"/>
          <w:rFonts w:hint="eastAsia" w:ascii="仿宋_GB2312" w:hAnsi="仿宋_GB2312" w:eastAsia="仿宋_GB2312" w:cs="仿宋_GB2312"/>
          <w:b w:val="0"/>
          <w:bCs/>
          <w:spacing w:val="0"/>
          <w:sz w:val="32"/>
          <w:szCs w:val="32"/>
          <w:highlight w:val="none"/>
        </w:rPr>
        <w:t>批次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100批次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：血液制品模拟实验批次，指标值：</w:t>
      </w:r>
      <w:r>
        <w:rPr>
          <w:rStyle w:val="16"/>
          <w:rFonts w:hint="eastAsia" w:ascii="仿宋_GB2312" w:hAnsi="仿宋_GB2312" w:eastAsia="仿宋_GB2312" w:cs="仿宋_GB2312"/>
          <w:b w:val="0"/>
          <w:bCs/>
          <w:spacing w:val="0"/>
          <w:sz w:val="32"/>
          <w:szCs w:val="32"/>
          <w:highlight w:val="none"/>
        </w:rPr>
        <w:t>≥</w:t>
      </w:r>
      <w:r>
        <w:rPr>
          <w:rStyle w:val="16"/>
          <w:rFonts w:hint="eastAsia" w:ascii="仿宋_GB2312" w:hAnsi="仿宋_GB2312" w:eastAsia="仿宋_GB2312" w:cs="仿宋_GB2312"/>
          <w:b w:val="0"/>
          <w:bCs/>
          <w:spacing w:val="0"/>
          <w:sz w:val="32"/>
          <w:szCs w:val="32"/>
          <w:highlight w:val="none"/>
          <w:lang w:val="en-US" w:eastAsia="zh-CN"/>
        </w:rPr>
        <w:t>20</w:t>
      </w:r>
      <w:r>
        <w:rPr>
          <w:rStyle w:val="16"/>
          <w:rFonts w:hint="eastAsia" w:ascii="仿宋_GB2312" w:hAnsi="仿宋_GB2312" w:eastAsia="仿宋_GB2312" w:cs="仿宋_GB2312"/>
          <w:b w:val="0"/>
          <w:bCs/>
          <w:spacing w:val="0"/>
          <w:sz w:val="32"/>
          <w:szCs w:val="32"/>
          <w:highlight w:val="none"/>
        </w:rPr>
        <w:t>批次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20批次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：中药材质量监测数量，指标值：</w:t>
      </w:r>
      <w:r>
        <w:rPr>
          <w:rStyle w:val="16"/>
          <w:rFonts w:hint="eastAsia" w:ascii="仿宋_GB2312" w:hAnsi="仿宋_GB2312" w:eastAsia="仿宋_GB2312" w:cs="仿宋_GB2312"/>
          <w:b w:val="0"/>
          <w:bCs/>
          <w:spacing w:val="0"/>
          <w:sz w:val="32"/>
          <w:szCs w:val="32"/>
          <w:highlight w:val="none"/>
        </w:rPr>
        <w:t>≥</w:t>
      </w:r>
      <w:r>
        <w:rPr>
          <w:rStyle w:val="16"/>
          <w:rFonts w:hint="eastAsia" w:ascii="仿宋_GB2312" w:hAnsi="仿宋_GB2312" w:eastAsia="仿宋_GB2312" w:cs="仿宋_GB2312"/>
          <w:b w:val="0"/>
          <w:bCs/>
          <w:spacing w:val="0"/>
          <w:sz w:val="32"/>
          <w:szCs w:val="32"/>
          <w:highlight w:val="none"/>
          <w:lang w:val="en-US" w:eastAsia="zh-CN"/>
        </w:rPr>
        <w:t>3个品种</w:t>
      </w:r>
      <w:r>
        <w:rPr>
          <w:rFonts w:hint="eastAsia" w:ascii="仿宋_GB2312" w:hAnsi="仿宋_GB2312" w:eastAsia="仿宋_GB2312" w:cs="仿宋_GB2312"/>
          <w:sz w:val="32"/>
          <w:szCs w:val="32"/>
          <w:highlight w:val="none"/>
        </w:rPr>
        <w:t>，实际完成值：</w:t>
      </w:r>
      <w:r>
        <w:rPr>
          <w:rStyle w:val="16"/>
          <w:rFonts w:hint="eastAsia" w:ascii="仿宋_GB2312" w:hAnsi="仿宋_GB2312" w:eastAsia="仿宋_GB2312" w:cs="仿宋_GB2312"/>
          <w:b w:val="0"/>
          <w:bCs/>
          <w:spacing w:val="0"/>
          <w:sz w:val="32"/>
          <w:szCs w:val="32"/>
          <w:highlight w:val="none"/>
          <w:lang w:val="en-US" w:eastAsia="zh-CN"/>
        </w:rPr>
        <w:t>3个品种</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专用设备购置数量，指标值：</w:t>
      </w:r>
      <w:r>
        <w:rPr>
          <w:rStyle w:val="16"/>
          <w:rFonts w:hint="eastAsia" w:ascii="仿宋_GB2312" w:hAnsi="仿宋_GB2312" w:eastAsia="仿宋_GB2312" w:cs="仿宋_GB2312"/>
          <w:b w:val="0"/>
          <w:bCs/>
          <w:spacing w:val="0"/>
          <w:sz w:val="32"/>
          <w:szCs w:val="32"/>
          <w:highlight w:val="none"/>
        </w:rPr>
        <w:t>≥</w:t>
      </w:r>
      <w:r>
        <w:rPr>
          <w:rStyle w:val="16"/>
          <w:rFonts w:hint="eastAsia" w:ascii="仿宋_GB2312" w:hAnsi="仿宋_GB2312" w:eastAsia="仿宋_GB2312" w:cs="仿宋_GB2312"/>
          <w:b w:val="0"/>
          <w:bCs/>
          <w:spacing w:val="0"/>
          <w:sz w:val="32"/>
          <w:szCs w:val="32"/>
          <w:highlight w:val="none"/>
          <w:lang w:val="en-US" w:eastAsia="zh-CN"/>
        </w:rPr>
        <w:t>83台</w:t>
      </w:r>
      <w:r>
        <w:rPr>
          <w:rFonts w:hint="eastAsia" w:ascii="仿宋_GB2312" w:hAnsi="仿宋_GB2312" w:eastAsia="仿宋_GB2312" w:cs="仿宋_GB2312"/>
          <w:sz w:val="32"/>
          <w:szCs w:val="32"/>
          <w:highlight w:val="none"/>
        </w:rPr>
        <w:t>，实际完成值：</w:t>
      </w:r>
      <w:r>
        <w:rPr>
          <w:rStyle w:val="16"/>
          <w:rFonts w:hint="eastAsia" w:ascii="仿宋_GB2312" w:hAnsi="仿宋_GB2312" w:eastAsia="仿宋_GB2312" w:cs="仿宋_GB2312"/>
          <w:b w:val="0"/>
          <w:bCs/>
          <w:spacing w:val="0"/>
          <w:sz w:val="32"/>
          <w:szCs w:val="32"/>
          <w:highlight w:val="none"/>
          <w:lang w:val="en-US" w:eastAsia="zh-CN"/>
        </w:rPr>
        <w:t>83台</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rPr>
        <w:t>指标1：检验准确率，指标值：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95%</w:t>
      </w:r>
      <w:r>
        <w:rPr>
          <w:rFonts w:hint="default" w:ascii="Times New Roman" w:hAnsi="Times New Roman" w:eastAsia="仿宋_GB2312" w:cs="Times New Roman"/>
          <w:sz w:val="32"/>
          <w:szCs w:val="32"/>
          <w:highlight w:val="none"/>
          <w:u w:val="none"/>
        </w:rPr>
        <w:t>，实际完成值：</w:t>
      </w:r>
      <w:r>
        <w:rPr>
          <w:rFonts w:hint="eastAsia" w:eastAsia="仿宋_GB2312" w:cs="Times New Roman"/>
          <w:sz w:val="32"/>
          <w:szCs w:val="32"/>
          <w:highlight w:val="none"/>
          <w:u w:val="none"/>
          <w:lang w:val="en-US" w:eastAsia="zh-CN"/>
        </w:rPr>
        <w:t>95%批次</w:t>
      </w:r>
      <w:r>
        <w:rPr>
          <w:rFonts w:hint="default" w:ascii="Times New Roman" w:hAnsi="Times New Roman" w:eastAsia="仿宋_GB2312" w:cs="Times New Roman"/>
          <w:sz w:val="32"/>
          <w:szCs w:val="32"/>
          <w:highlight w:val="none"/>
          <w:u w:val="none"/>
        </w:rPr>
        <w:t>，指标完成率</w:t>
      </w:r>
      <w:r>
        <w:rPr>
          <w:rFonts w:hint="eastAsia" w:eastAsia="仿宋_GB2312" w:cs="Times New Roman"/>
          <w:sz w:val="32"/>
          <w:szCs w:val="32"/>
          <w:highlight w:val="none"/>
          <w:u w:val="none"/>
          <w:lang w:val="en-US" w:eastAsia="zh-CN"/>
        </w:rPr>
        <w:t>100</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w:t>
      </w:r>
    </w:p>
    <w:p>
      <w:pPr>
        <w:shd w:val="clear"/>
        <w:spacing w:line="600" w:lineRule="exact"/>
        <w:ind w:firstLine="640" w:firstLineChars="200"/>
        <w:outlineLvl w:val="0"/>
        <w:rPr>
          <w:rFonts w:hint="default"/>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：专用设备验收合格率，指标值：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95%</w:t>
      </w:r>
      <w:r>
        <w:rPr>
          <w:rFonts w:hint="default" w:ascii="Times New Roman" w:hAnsi="Times New Roman" w:eastAsia="仿宋_GB2312" w:cs="Times New Roman"/>
          <w:sz w:val="32"/>
          <w:szCs w:val="32"/>
          <w:highlight w:val="none"/>
          <w:u w:val="none"/>
        </w:rPr>
        <w:t>，实际完成值：</w:t>
      </w:r>
      <w:r>
        <w:rPr>
          <w:rFonts w:hint="eastAsia" w:eastAsia="仿宋_GB2312" w:cs="Times New Roman"/>
          <w:sz w:val="32"/>
          <w:szCs w:val="32"/>
          <w:highlight w:val="none"/>
          <w:u w:val="none"/>
          <w:lang w:val="en-US" w:eastAsia="zh-CN"/>
        </w:rPr>
        <w:t>95%批次</w:t>
      </w:r>
      <w:r>
        <w:rPr>
          <w:rFonts w:hint="default" w:ascii="Times New Roman" w:hAnsi="Times New Roman" w:eastAsia="仿宋_GB2312" w:cs="Times New Roman"/>
          <w:sz w:val="32"/>
          <w:szCs w:val="32"/>
          <w:highlight w:val="none"/>
          <w:u w:val="none"/>
        </w:rPr>
        <w:t>，指标完成率</w:t>
      </w:r>
      <w:r>
        <w:rPr>
          <w:rFonts w:hint="eastAsia" w:eastAsia="仿宋_GB2312" w:cs="Times New Roman"/>
          <w:sz w:val="32"/>
          <w:szCs w:val="32"/>
          <w:highlight w:val="none"/>
          <w:u w:val="none"/>
          <w:lang w:val="en-US" w:eastAsia="zh-CN"/>
        </w:rPr>
        <w:t>100</w:t>
      </w:r>
      <w:r>
        <w:rPr>
          <w:rFonts w:hint="default" w:ascii="Times New Roman" w:hAnsi="Times New Roman" w:eastAsia="仿宋_GB2312" w:cs="Times New Roman"/>
          <w:sz w:val="32"/>
          <w:szCs w:val="32"/>
          <w:highlight w:val="none"/>
          <w:u w:val="none"/>
        </w:rPr>
        <w:t>%</w:t>
      </w:r>
      <w:bookmarkStart w:id="3" w:name="_GoBack"/>
      <w:bookmarkEnd w:id="3"/>
      <w:r>
        <w:rPr>
          <w:rFonts w:hint="default" w:ascii="Times New Roman" w:hAnsi="Times New Roman" w:eastAsia="仿宋_GB2312" w:cs="Times New Roman"/>
          <w:sz w:val="32"/>
          <w:szCs w:val="32"/>
          <w:highlight w:val="none"/>
          <w:u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rPr>
        <w:t>指标1：检验任务按时完成率，指标值：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95%</w:t>
      </w:r>
      <w:r>
        <w:rPr>
          <w:rFonts w:hint="default" w:ascii="Times New Roman" w:hAnsi="Times New Roman" w:eastAsia="仿宋_GB2312" w:cs="Times New Roman"/>
          <w:sz w:val="32"/>
          <w:szCs w:val="32"/>
          <w:highlight w:val="none"/>
          <w:u w:val="none"/>
        </w:rPr>
        <w:t>，实际完成值：</w:t>
      </w:r>
      <w:r>
        <w:rPr>
          <w:rFonts w:hint="eastAsia" w:eastAsia="仿宋_GB2312" w:cs="Times New Roman"/>
          <w:sz w:val="32"/>
          <w:szCs w:val="32"/>
          <w:highlight w:val="none"/>
          <w:u w:val="none"/>
          <w:lang w:val="en-US" w:eastAsia="zh-CN"/>
        </w:rPr>
        <w:t>95%批次</w:t>
      </w:r>
      <w:r>
        <w:rPr>
          <w:rFonts w:hint="default" w:ascii="Times New Roman" w:hAnsi="Times New Roman" w:eastAsia="仿宋_GB2312" w:cs="Times New Roman"/>
          <w:sz w:val="32"/>
          <w:szCs w:val="32"/>
          <w:highlight w:val="none"/>
          <w:u w:val="none"/>
        </w:rPr>
        <w:t>，指标完成率</w:t>
      </w:r>
      <w:r>
        <w:rPr>
          <w:rFonts w:hint="eastAsia" w:eastAsia="仿宋_GB2312" w:cs="Times New Roman"/>
          <w:sz w:val="32"/>
          <w:szCs w:val="32"/>
          <w:highlight w:val="none"/>
          <w:u w:val="none"/>
          <w:lang w:val="en-US" w:eastAsia="zh-CN"/>
        </w:rPr>
        <w:t>100</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keepNext w:val="0"/>
        <w:keepLines w:val="0"/>
        <w:pageBreakBefore w:val="0"/>
        <w:shd w:val="clear"/>
        <w:kinsoku/>
        <w:wordWrap/>
        <w:overflowPunct/>
        <w:topLinePunct w:val="0"/>
        <w:autoSpaceDE/>
        <w:autoSpaceDN/>
        <w:bidi w:val="0"/>
        <w:adjustRightInd/>
        <w:snapToGrid/>
        <w:spacing w:line="52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指标1：专用设备购置成本，指标值：</w:t>
      </w:r>
      <w:r>
        <w:rPr>
          <w:rStyle w:val="16"/>
          <w:rFonts w:hint="eastAsia" w:ascii="仿宋_GB2312" w:hAnsi="仿宋_GB2312" w:eastAsia="仿宋_GB2312" w:cs="仿宋_GB2312"/>
          <w:b w:val="0"/>
          <w:bCs w:val="0"/>
          <w:spacing w:val="0"/>
          <w:sz w:val="32"/>
          <w:szCs w:val="32"/>
          <w:highlight w:val="none"/>
        </w:rPr>
        <w:t>≤</w:t>
      </w:r>
      <w:r>
        <w:rPr>
          <w:rStyle w:val="16"/>
          <w:rFonts w:hint="eastAsia" w:ascii="仿宋_GB2312" w:hAnsi="仿宋_GB2312" w:eastAsia="仿宋_GB2312" w:cs="仿宋_GB2312"/>
          <w:b w:val="0"/>
          <w:bCs w:val="0"/>
          <w:spacing w:val="0"/>
          <w:sz w:val="32"/>
          <w:szCs w:val="32"/>
          <w:highlight w:val="none"/>
          <w:lang w:val="en-US" w:eastAsia="zh-CN"/>
        </w:rPr>
        <w:t>177.5万元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177.5万元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numPr>
          <w:ilvl w:val="0"/>
          <w:numId w:val="0"/>
        </w:numPr>
        <w:spacing w:line="600" w:lineRule="exact"/>
        <w:ind w:firstLine="640" w:firstLineChars="200"/>
        <w:outlineLvl w:val="9"/>
        <w:rPr>
          <w:rStyle w:val="16"/>
          <w:rFonts w:hint="eastAsia" w:ascii="方正仿宋_GB2312" w:hAnsi="方正仿宋_GB2312" w:eastAsia="方正仿宋_GB2312" w:cs="方正仿宋_GB2312"/>
          <w:color w:val="auto"/>
          <w:sz w:val="32"/>
          <w:szCs w:val="32"/>
          <w:highlight w:val="none"/>
        </w:rPr>
      </w:pPr>
      <w:r>
        <w:rPr>
          <w:rStyle w:val="16"/>
          <w:rFonts w:hint="eastAsia" w:ascii="仿宋_GB2312" w:hAnsi="仿宋_GB2312" w:eastAsia="仿宋_GB2312" w:cs="仿宋_GB2312"/>
          <w:color w:val="auto"/>
          <w:sz w:val="32"/>
          <w:szCs w:val="32"/>
          <w:highlight w:val="none"/>
        </w:rPr>
        <w:t>指标1：保障公众用药安全，指标值：</w:t>
      </w:r>
      <w:r>
        <w:rPr>
          <w:rStyle w:val="16"/>
          <w:rFonts w:hint="eastAsia" w:ascii="仿宋_GB2312" w:hAnsi="仿宋_GB2312" w:eastAsia="仿宋_GB2312" w:cs="仿宋_GB2312"/>
          <w:color w:val="auto"/>
          <w:sz w:val="32"/>
          <w:szCs w:val="32"/>
          <w:highlight w:val="none"/>
          <w:lang w:val="en-US" w:eastAsia="zh-CN"/>
        </w:rPr>
        <w:t>长期</w:t>
      </w:r>
      <w:r>
        <w:rPr>
          <w:rStyle w:val="16"/>
          <w:rFonts w:hint="eastAsia" w:ascii="仿宋_GB2312" w:hAnsi="仿宋_GB2312" w:eastAsia="仿宋_GB2312" w:cs="仿宋_GB2312"/>
          <w:color w:val="auto"/>
          <w:sz w:val="32"/>
          <w:szCs w:val="32"/>
          <w:highlight w:val="none"/>
        </w:rPr>
        <w:t>，实际完成值：</w:t>
      </w:r>
      <w:r>
        <w:rPr>
          <w:rStyle w:val="16"/>
          <w:rFonts w:hint="eastAsia" w:ascii="仿宋_GB2312" w:hAnsi="仿宋_GB2312" w:eastAsia="仿宋_GB2312" w:cs="仿宋_GB2312"/>
          <w:b w:val="0"/>
          <w:bCs w:val="0"/>
          <w:spacing w:val="0"/>
          <w:sz w:val="32"/>
          <w:szCs w:val="32"/>
          <w:highlight w:val="none"/>
          <w:lang w:eastAsia="zh-CN"/>
        </w:rPr>
        <w:t>长期</w:t>
      </w:r>
      <w:r>
        <w:rPr>
          <w:rStyle w:val="16"/>
          <w:rFonts w:hint="eastAsia" w:ascii="仿宋_GB2312" w:hAnsi="仿宋_GB2312" w:eastAsia="仿宋_GB2312" w:cs="仿宋_GB2312"/>
          <w:color w:val="auto"/>
          <w:sz w:val="32"/>
          <w:szCs w:val="32"/>
          <w:highlight w:val="none"/>
        </w:rPr>
        <w:t>，指标完成</w:t>
      </w:r>
      <w:r>
        <w:rPr>
          <w:rStyle w:val="16"/>
          <w:rFonts w:hint="eastAsia" w:ascii="方正仿宋_GB2312" w:hAnsi="方正仿宋_GB2312" w:eastAsia="方正仿宋_GB2312" w:cs="方正仿宋_GB2312"/>
          <w:color w:val="auto"/>
          <w:sz w:val="32"/>
          <w:szCs w:val="32"/>
          <w:highlight w:val="none"/>
        </w:rPr>
        <w:t>率</w:t>
      </w:r>
      <w:r>
        <w:rPr>
          <w:rStyle w:val="16"/>
          <w:rFonts w:hint="eastAsia" w:ascii="方正仿宋_GB2312" w:hAnsi="方正仿宋_GB2312" w:eastAsia="方正仿宋_GB2312" w:cs="方正仿宋_GB2312"/>
          <w:color w:val="auto"/>
          <w:sz w:val="32"/>
          <w:szCs w:val="32"/>
          <w:highlight w:val="none"/>
          <w:lang w:val="en-US" w:eastAsia="zh-CN"/>
        </w:rPr>
        <w:t>100</w:t>
      </w:r>
      <w:r>
        <w:rPr>
          <w:rStyle w:val="16"/>
          <w:rFonts w:hint="eastAsia" w:ascii="方正仿宋_GB2312" w:hAnsi="方正仿宋_GB2312" w:eastAsia="方正仿宋_GB2312" w:cs="方正仿宋_GB2312"/>
          <w:color w:val="auto"/>
          <w:sz w:val="32"/>
          <w:szCs w:val="32"/>
          <w:highlight w:val="none"/>
        </w:rPr>
        <w:t>%</w:t>
      </w:r>
      <w:r>
        <w:rPr>
          <w:rStyle w:val="16"/>
          <w:rFonts w:hint="eastAsia" w:ascii="方正仿宋_GB2312" w:hAnsi="方正仿宋_GB2312" w:eastAsia="方正仿宋_GB2312" w:cs="方正仿宋_GB2312"/>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napToGrid w:val="0"/>
        <w:spacing w:line="560" w:lineRule="exact"/>
        <w:ind w:firstLine="640" w:firstLineChars="200"/>
        <w:rPr>
          <w:rStyle w:val="17"/>
          <w:rFonts w:eastAsia="仿宋_GB2312"/>
          <w:b w:val="0"/>
          <w:spacing w:val="-4"/>
          <w:sz w:val="32"/>
          <w:szCs w:val="32"/>
          <w:highlight w:val="none"/>
        </w:rPr>
      </w:pPr>
      <w:r>
        <w:rPr>
          <w:rStyle w:val="16"/>
          <w:rFonts w:hint="eastAsia" w:ascii="方正仿宋_GB2312" w:hAnsi="方正仿宋_GB2312" w:eastAsia="方正仿宋_GB2312" w:cs="方正仿宋_GB2312"/>
          <w:b w:val="0"/>
          <w:spacing w:val="0"/>
          <w:sz w:val="32"/>
          <w:szCs w:val="32"/>
          <w:highlight w:val="none"/>
        </w:rPr>
        <w:t>指标1：公众满意度，指标值：</w:t>
      </w:r>
      <w:r>
        <w:rPr>
          <w:rStyle w:val="16"/>
          <w:rFonts w:hint="eastAsia" w:ascii="方正仿宋_GB2312" w:hAnsi="方正仿宋_GB2312" w:eastAsia="方正仿宋_GB2312" w:cs="方正仿宋_GB2312"/>
          <w:b w:val="0"/>
          <w:bCs w:val="0"/>
          <w:spacing w:val="0"/>
          <w:sz w:val="32"/>
          <w:szCs w:val="32"/>
          <w:highlight w:val="none"/>
        </w:rPr>
        <w:t>≥</w:t>
      </w:r>
      <w:r>
        <w:rPr>
          <w:rStyle w:val="16"/>
          <w:rFonts w:hint="eastAsia" w:ascii="方正仿宋_GB2312" w:hAnsi="方正仿宋_GB2312" w:eastAsia="方正仿宋_GB2312" w:cs="方正仿宋_GB2312"/>
          <w:b w:val="0"/>
          <w:bCs w:val="0"/>
          <w:spacing w:val="0"/>
          <w:sz w:val="32"/>
          <w:szCs w:val="32"/>
          <w:highlight w:val="none"/>
          <w:lang w:val="en-US" w:eastAsia="zh-CN"/>
        </w:rPr>
        <w:t>90%</w:t>
      </w:r>
      <w:r>
        <w:rPr>
          <w:rStyle w:val="16"/>
          <w:rFonts w:hint="eastAsia" w:ascii="方正仿宋_GB2312" w:hAnsi="方正仿宋_GB2312" w:eastAsia="方正仿宋_GB2312" w:cs="方正仿宋_GB2312"/>
          <w:b w:val="0"/>
          <w:spacing w:val="0"/>
          <w:sz w:val="32"/>
          <w:szCs w:val="32"/>
          <w:highlight w:val="none"/>
        </w:rPr>
        <w:t>，实际完成值：</w:t>
      </w:r>
      <w:r>
        <w:rPr>
          <w:rStyle w:val="16"/>
          <w:rFonts w:hint="eastAsia" w:ascii="方正仿宋_GB2312" w:hAnsi="方正仿宋_GB2312" w:eastAsia="方正仿宋_GB2312" w:cs="方正仿宋_GB2312"/>
          <w:b w:val="0"/>
          <w:bCs w:val="0"/>
          <w:spacing w:val="0"/>
          <w:sz w:val="32"/>
          <w:szCs w:val="32"/>
          <w:highlight w:val="none"/>
          <w:lang w:val="en-US" w:eastAsia="zh-CN"/>
        </w:rPr>
        <w:t>90%</w:t>
      </w:r>
      <w:r>
        <w:rPr>
          <w:rStyle w:val="16"/>
          <w:rFonts w:hint="eastAsia" w:ascii="方正仿宋_GB2312" w:hAnsi="方正仿宋_GB2312" w:eastAsia="方正仿宋_GB2312" w:cs="方正仿宋_GB2312"/>
          <w:b w:val="0"/>
          <w:spacing w:val="0"/>
          <w:sz w:val="32"/>
          <w:szCs w:val="32"/>
          <w:highlight w:val="none"/>
        </w:rPr>
        <w:t>，指标完成率</w:t>
      </w:r>
      <w:r>
        <w:rPr>
          <w:rStyle w:val="16"/>
          <w:rFonts w:hint="eastAsia" w:ascii="方正仿宋_GB2312" w:hAnsi="方正仿宋_GB2312" w:eastAsia="方正仿宋_GB2312" w:cs="方正仿宋_GB2312"/>
          <w:b w:val="0"/>
          <w:spacing w:val="0"/>
          <w:sz w:val="32"/>
          <w:szCs w:val="32"/>
          <w:highlight w:val="none"/>
          <w:lang w:val="en-US" w:eastAsia="zh-CN"/>
        </w:rPr>
        <w:t>100</w:t>
      </w:r>
      <w:r>
        <w:rPr>
          <w:rStyle w:val="16"/>
          <w:rFonts w:hint="eastAsia" w:ascii="方正仿宋_GB2312" w:hAnsi="方正仿宋_GB2312" w:eastAsia="方正仿宋_GB2312" w:cs="方正仿宋_GB2312"/>
          <w:b w:val="0"/>
          <w:spacing w:val="0"/>
          <w:sz w:val="32"/>
          <w:szCs w:val="32"/>
          <w:highlight w:val="none"/>
        </w:rPr>
        <w:t>%</w:t>
      </w:r>
      <w:r>
        <w:rPr>
          <w:rStyle w:val="16"/>
          <w:rFonts w:hint="eastAsia" w:ascii="方正仿宋_GB2312" w:hAnsi="方正仿宋_GB2312" w:eastAsia="方正仿宋_GB2312" w:cs="方正仿宋_GB2312"/>
          <w:b w:val="0"/>
          <w:spacing w:val="0"/>
          <w:sz w:val="32"/>
          <w:szCs w:val="32"/>
          <w:highlight w:val="none"/>
          <w:lang w:eastAsia="zh-CN"/>
        </w:rPr>
        <w:t>。</w:t>
      </w:r>
    </w:p>
    <w:p>
      <w:pPr>
        <w:spacing w:line="560" w:lineRule="exact"/>
        <w:ind w:firstLine="640" w:firstLineChars="200"/>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lang w:val="en-US" w:eastAsia="zh-Hans"/>
        </w:rPr>
        <w:t>预算执行进度与绩效指标总体完成率偏差</w:t>
      </w:r>
    </w:p>
    <w:p>
      <w:pPr>
        <w:pStyle w:val="20"/>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2024年食品药品监管补助资金（第二批）</w:t>
      </w:r>
      <w:r>
        <w:rPr>
          <w:rFonts w:hint="eastAsia" w:ascii="仿宋_GB2312" w:hAnsi="仿宋_GB2312" w:eastAsia="仿宋_GB2312" w:cs="仿宋_GB2312"/>
          <w:b w:val="0"/>
          <w:bCs w:val="0"/>
          <w:sz w:val="32"/>
          <w:szCs w:val="32"/>
          <w:highlight w:val="none"/>
        </w:rPr>
        <w:t>项目年初预算</w:t>
      </w:r>
      <w:r>
        <w:rPr>
          <w:rFonts w:hint="eastAsia" w:ascii="仿宋_GB2312" w:hAnsi="仿宋_GB2312" w:eastAsia="仿宋_GB2312" w:cs="仿宋_GB2312"/>
          <w:b w:val="0"/>
          <w:bCs w:val="0"/>
          <w:sz w:val="32"/>
          <w:szCs w:val="32"/>
          <w:highlight w:val="none"/>
          <w:lang w:val="en-US" w:eastAsia="zh-CN"/>
        </w:rPr>
        <w:t>422</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422</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393.43</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93.23%</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6.77</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2024年下半年招标采购试剂耗材、专用设备尾款按照合同约定下一年支付</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eastAsia="zh-CN"/>
        </w:rPr>
        <w:t>细化预算，计划预算执行率</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六</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6"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八</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2" w:firstLineChars="200"/>
        <w:rPr>
          <w:rFonts w:hint="eastAsia" w:ascii="Times New Roman" w:hAnsi="Times New Roman" w:eastAsia="仿宋_GB2312" w:cs="Times New Roman"/>
          <w:b/>
          <w:bCs/>
          <w:color w:val="FF0000"/>
          <w:sz w:val="32"/>
          <w:szCs w:val="32"/>
          <w:lang w:eastAsia="zh-CN"/>
        </w:rPr>
      </w:pPr>
    </w:p>
    <w:p>
      <w:pPr>
        <w:pStyle w:val="14"/>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2024年食品药品监管补助资金（第二批）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新疆维吾尔自治区药品监督管理局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新疆维吾尔自治区药品检验研究院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422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422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393.43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93.23%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422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422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393.43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根据主要职能，为“两品一械”提供技术支撑保障，2024年下半年预计完成1.进口药材检验100批次，血液制品模拟实验20批次，中药材质量监测3个品种；为更好完成检验任务购置设备83台。</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2024年下半年已完成1.进口药材检验100批次，血液制品模拟实验20批次，中药材质量监测3个品种；购置设备83台。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auto" w:sz="4" w:space="0"/>
              <w:left w:val="single" w:color="000000" w:sz="4" w:space="0"/>
              <w:bottom w:val="nil"/>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auto"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完成进口药材检验批次</w:t>
            </w:r>
          </w:p>
        </w:tc>
        <w:tc>
          <w:tcPr>
            <w:tcW w:w="402" w:type="pct"/>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≥100批次</w:t>
            </w:r>
          </w:p>
        </w:tc>
        <w:tc>
          <w:tcPr>
            <w:tcW w:w="410" w:type="pct"/>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100批次</w:t>
            </w:r>
          </w:p>
        </w:tc>
        <w:tc>
          <w:tcPr>
            <w:tcW w:w="292" w:type="pct"/>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完成血液制品模拟实验批次</w:t>
            </w:r>
          </w:p>
        </w:tc>
        <w:tc>
          <w:tcPr>
            <w:tcW w:w="402"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≥20批次</w:t>
            </w:r>
          </w:p>
        </w:tc>
        <w:tc>
          <w:tcPr>
            <w:tcW w:w="410"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20批次</w:t>
            </w:r>
          </w:p>
        </w:tc>
        <w:tc>
          <w:tcPr>
            <w:tcW w:w="292"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6"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中药材质量监测数量</w:t>
            </w:r>
          </w:p>
        </w:tc>
        <w:tc>
          <w:tcPr>
            <w:tcW w:w="402" w:type="pct"/>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≥3个品种</w:t>
            </w:r>
          </w:p>
        </w:tc>
        <w:tc>
          <w:tcPr>
            <w:tcW w:w="410"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3个品种</w:t>
            </w:r>
          </w:p>
        </w:tc>
        <w:tc>
          <w:tcPr>
            <w:tcW w:w="292"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62" w:type="pct"/>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auto"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专用设备购置数量</w:t>
            </w:r>
          </w:p>
        </w:tc>
        <w:tc>
          <w:tcPr>
            <w:tcW w:w="402" w:type="pct"/>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≥83台</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rPr>
              <w:t>按照完成比例赋</w:t>
            </w:r>
            <w:r>
              <w:rPr>
                <w:rFonts w:hint="eastAsia" w:ascii="仿宋_GB2312" w:hAnsi="仿宋_GB2312" w:eastAsia="仿宋_GB2312" w:cs="仿宋_GB2312"/>
                <w:i w:val="0"/>
                <w:iCs w:val="0"/>
                <w:color w:val="000000"/>
                <w:sz w:val="18"/>
                <w:szCs w:val="18"/>
                <w:u w:val="none"/>
                <w:lang w:eastAsia="zh-CN"/>
              </w:rPr>
              <w:t>分</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83台</w:t>
            </w:r>
          </w:p>
        </w:tc>
        <w:tc>
          <w:tcPr>
            <w:tcW w:w="292" w:type="pct"/>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auto"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检验准确率</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bottom w:val="single" w:color="auto"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专用设备验收合格率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检验任务按时完成率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专用设备购置成本</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≤177.5万元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177.5万元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保障公众用药安全</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长期</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长期</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公众满意度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满意度</w:t>
            </w:r>
            <w:r>
              <w:rPr>
                <w:rFonts w:hint="eastAsia" w:ascii="仿宋_GB2312" w:hAnsi="仿宋_GB2312" w:eastAsia="仿宋_GB2312" w:cs="仿宋_GB2312"/>
                <w:i w:val="0"/>
                <w:iCs w:val="0"/>
                <w:color w:val="000000"/>
                <w:sz w:val="18"/>
                <w:szCs w:val="18"/>
                <w:u w:val="none"/>
              </w:rPr>
              <w:t>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2024年食品药品监管补助资金（第二批）</w:t>
      </w:r>
      <w:r>
        <w:rPr>
          <w:rFonts w:hint="eastAsia" w:ascii="仿宋_GB2312" w:hAnsi="仿宋_GB2312" w:eastAsia="仿宋_GB2312" w:cs="仿宋_GB2312"/>
          <w:b/>
          <w:bCs/>
          <w:sz w:val="28"/>
          <w:szCs w:val="40"/>
          <w:highlight w:val="none"/>
        </w:rPr>
        <w:t>项目绩</w:t>
      </w:r>
      <w:r>
        <w:rPr>
          <w:rFonts w:hint="eastAsia" w:ascii="仿宋_GB2312" w:hAnsi="仿宋_GB2312" w:eastAsia="仿宋_GB2312" w:cs="仿宋_GB2312"/>
          <w:b/>
          <w:bCs/>
          <w:sz w:val="28"/>
          <w:szCs w:val="40"/>
        </w:rPr>
        <w:t>效评价指标体系及综合评分表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1170296"/>
    <w:rsid w:val="13471461"/>
    <w:rsid w:val="13B90F01"/>
    <w:rsid w:val="155E4C4D"/>
    <w:rsid w:val="17462648"/>
    <w:rsid w:val="181066D2"/>
    <w:rsid w:val="1C671E73"/>
    <w:rsid w:val="1D1125A5"/>
    <w:rsid w:val="1D322C47"/>
    <w:rsid w:val="23616034"/>
    <w:rsid w:val="24480FA2"/>
    <w:rsid w:val="25227A45"/>
    <w:rsid w:val="25485193"/>
    <w:rsid w:val="25FA1B0C"/>
    <w:rsid w:val="26AC3A6A"/>
    <w:rsid w:val="281178FD"/>
    <w:rsid w:val="2B9D7E25"/>
    <w:rsid w:val="2C7C7A3B"/>
    <w:rsid w:val="2EFC0D68"/>
    <w:rsid w:val="2F364819"/>
    <w:rsid w:val="2FD63906"/>
    <w:rsid w:val="37215DAE"/>
    <w:rsid w:val="38CA40DD"/>
    <w:rsid w:val="395F2B56"/>
    <w:rsid w:val="3BBA0580"/>
    <w:rsid w:val="3BECE841"/>
    <w:rsid w:val="3CDE204C"/>
    <w:rsid w:val="3D363C36"/>
    <w:rsid w:val="3E9C3F6D"/>
    <w:rsid w:val="3FF7797D"/>
    <w:rsid w:val="46690BD8"/>
    <w:rsid w:val="49F70BF1"/>
    <w:rsid w:val="4B4340EE"/>
    <w:rsid w:val="4BF06537"/>
    <w:rsid w:val="503D507A"/>
    <w:rsid w:val="51FA74D0"/>
    <w:rsid w:val="52AA4A52"/>
    <w:rsid w:val="59943D66"/>
    <w:rsid w:val="59E051FD"/>
    <w:rsid w:val="59E6355E"/>
    <w:rsid w:val="5B821531"/>
    <w:rsid w:val="5BFF6039"/>
    <w:rsid w:val="5D76A616"/>
    <w:rsid w:val="5D7F20B9"/>
    <w:rsid w:val="5DAC7D0E"/>
    <w:rsid w:val="5DCFC46D"/>
    <w:rsid w:val="5F98B5AF"/>
    <w:rsid w:val="5FFE8511"/>
    <w:rsid w:val="5FFEACE2"/>
    <w:rsid w:val="609D5BF6"/>
    <w:rsid w:val="61073070"/>
    <w:rsid w:val="61B9080E"/>
    <w:rsid w:val="61DF3FED"/>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3FC40F4"/>
    <w:rsid w:val="74220495"/>
    <w:rsid w:val="747D1B6F"/>
    <w:rsid w:val="749E5641"/>
    <w:rsid w:val="76271066"/>
    <w:rsid w:val="77FD8BE9"/>
    <w:rsid w:val="78000AED"/>
    <w:rsid w:val="79A9BD3F"/>
    <w:rsid w:val="7B776F12"/>
    <w:rsid w:val="7BFFFDD0"/>
    <w:rsid w:val="7C336E5F"/>
    <w:rsid w:val="7C8D4919"/>
    <w:rsid w:val="7D7A5F86"/>
    <w:rsid w:val="7DB6804F"/>
    <w:rsid w:val="7E4B683A"/>
    <w:rsid w:val="7E5E656D"/>
    <w:rsid w:val="7E8F2BCB"/>
    <w:rsid w:val="7F37BB4E"/>
    <w:rsid w:val="7FEF918E"/>
    <w:rsid w:val="7FF4FB6F"/>
    <w:rsid w:val="7FF7FF27"/>
    <w:rsid w:val="7FFDF714"/>
    <w:rsid w:val="AF3FCD8C"/>
    <w:rsid w:val="B9FA2A43"/>
    <w:rsid w:val="BF7BA1E4"/>
    <w:rsid w:val="BFDDF24C"/>
    <w:rsid w:val="BFDF04FA"/>
    <w:rsid w:val="BFE227EF"/>
    <w:rsid w:val="BFFCB243"/>
    <w:rsid w:val="CF2A1ABD"/>
    <w:rsid w:val="DA7D3CD9"/>
    <w:rsid w:val="DBDC0ADA"/>
    <w:rsid w:val="DEDE2B06"/>
    <w:rsid w:val="E77F062B"/>
    <w:rsid w:val="EBFA31C2"/>
    <w:rsid w:val="ED78CBE0"/>
    <w:rsid w:val="EDBF404A"/>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toa heading"/>
    <w:basedOn w:val="1"/>
    <w:next w:val="1"/>
    <w:unhideWhenUsed/>
    <w:qFormat/>
    <w:uiPriority w:val="99"/>
    <w:pPr>
      <w:spacing w:before="120"/>
    </w:pPr>
    <w:rPr>
      <w:rFonts w:ascii="Cambria" w:hAnsi="Cambria"/>
      <w:sz w:val="24"/>
      <w:szCs w:val="24"/>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1"/>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paragraph" w:styleId="14">
    <w:name w:val="Body Text First Indent 2"/>
    <w:basedOn w:val="7"/>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8"/>
    <w:qFormat/>
    <w:uiPriority w:val="0"/>
    <w:rPr>
      <w:rFonts w:ascii="Times New Roman" w:hAnsi="Times New Roman" w:eastAsia="宋体" w:cs="Times New Roman"/>
      <w:kern w:val="2"/>
      <w:sz w:val="18"/>
      <w:szCs w:val="18"/>
    </w:rPr>
  </w:style>
  <w:style w:type="character" w:customStyle="1" w:styleId="22">
    <w:name w:val="页眉 字符"/>
    <w:basedOn w:val="16"/>
    <w:link w:val="10"/>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 w:type="paragraph" w:customStyle="1" w:styleId="25">
    <w:name w:val="正文-公1"/>
    <w:basedOn w:val="26"/>
    <w:next w:val="1"/>
    <w:qFormat/>
    <w:uiPriority w:val="0"/>
    <w:pPr>
      <w:ind w:firstLine="200" w:firstLineChars="200"/>
    </w:p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5"/>
    <w:qFormat/>
    <w:uiPriority w:val="0"/>
    <w:pPr>
      <w:widowControl w:val="0"/>
      <w:jc w:val="both"/>
    </w:pPr>
    <w:rPr>
      <w:rFonts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13077</Words>
  <Characters>13530</Characters>
  <Lines>58</Lines>
  <Paragraphs>16</Paragraphs>
  <TotalTime>7</TotalTime>
  <ScaleCrop>false</ScaleCrop>
  <LinksUpToDate>false</LinksUpToDate>
  <CharactersWithSpaces>13549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yjj98</cp:lastModifiedBy>
  <dcterms:modified xsi:type="dcterms:W3CDTF">2025-05-20T17:52:10Z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F0FB862449E3497087B2E3B82064E8BE_13</vt:lpwstr>
  </property>
  <property fmtid="{D5CDD505-2E9C-101B-9397-08002B2CF9AE}" pid="4" name="KSOTemplateDocerSaveRecord">
    <vt:lpwstr>eyJoZGlkIjoiMWZjODEzMDVkZDA2OGFmMGFkODdiMjg2ZWFjYWUyNjMiLCJ1c2VySWQiOiI1NDY4Nzg5MjcifQ==</vt:lpwstr>
  </property>
</Properties>
</file>